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12F0" w14:textId="77777777" w:rsidR="00DB412A" w:rsidRDefault="00DB412A" w:rsidP="00A83610">
      <w:pPr>
        <w:jc w:val="center"/>
        <w:rPr>
          <w:rFonts w:cstheme="minorHAnsi"/>
        </w:rPr>
      </w:pPr>
      <w:r>
        <w:rPr>
          <w:noProof/>
        </w:rPr>
        <w:drawing>
          <wp:inline distT="0" distB="0" distL="0" distR="0" wp14:anchorId="749756DF" wp14:editId="1665F81C">
            <wp:extent cx="771525" cy="658619"/>
            <wp:effectExtent l="0" t="0" r="0" b="8255"/>
            <wp:docPr id="6" name="Picture 6" descr="S:\Logos\HPAE Logo_Vert_w_Tag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ogos\HPAE Logo_Vert_w_Tag_cmyk.gif"/>
                    <pic:cNvPicPr>
                      <a:picLocks noChangeAspect="1" noChangeArrowheads="1"/>
                    </pic:cNvPicPr>
                  </pic:nvPicPr>
                  <pic:blipFill>
                    <a:blip r:embed="rId5"/>
                    <a:srcRect/>
                    <a:stretch>
                      <a:fillRect/>
                    </a:stretch>
                  </pic:blipFill>
                  <pic:spPr bwMode="auto">
                    <a:xfrm>
                      <a:off x="0" y="0"/>
                      <a:ext cx="788042" cy="672719"/>
                    </a:xfrm>
                    <a:prstGeom prst="rect">
                      <a:avLst/>
                    </a:prstGeom>
                    <a:noFill/>
                    <a:ln w="9525">
                      <a:noFill/>
                      <a:miter lim="800000"/>
                      <a:headEnd/>
                      <a:tailEnd/>
                    </a:ln>
                  </pic:spPr>
                </pic:pic>
              </a:graphicData>
            </a:graphic>
          </wp:inline>
        </w:drawing>
      </w:r>
      <w:r>
        <w:rPr>
          <w:rFonts w:cstheme="minorHAnsi"/>
        </w:rPr>
        <w:t xml:space="preserve">             </w:t>
      </w:r>
    </w:p>
    <w:p w14:paraId="43212C87" w14:textId="6ECFB1CE" w:rsidR="00F24D3A" w:rsidRPr="00DB412A" w:rsidRDefault="00A83610" w:rsidP="00A83610">
      <w:pPr>
        <w:jc w:val="center"/>
        <w:rPr>
          <w:rFonts w:cstheme="minorHAnsi"/>
          <w:b/>
          <w:u w:val="single"/>
        </w:rPr>
      </w:pPr>
      <w:r w:rsidRPr="00DB412A">
        <w:rPr>
          <w:rFonts w:cstheme="minorHAnsi"/>
          <w:b/>
          <w:u w:val="single"/>
        </w:rPr>
        <w:t>Safe Patient Handling</w:t>
      </w:r>
      <w:r w:rsidR="00DB412A" w:rsidRPr="00DB412A">
        <w:rPr>
          <w:rFonts w:cstheme="minorHAnsi"/>
          <w:b/>
          <w:u w:val="single"/>
        </w:rPr>
        <w:t xml:space="preserve"> </w:t>
      </w:r>
      <w:proofErr w:type="spellStart"/>
      <w:r w:rsidR="00DB412A" w:rsidRPr="00DB412A">
        <w:rPr>
          <w:rFonts w:cstheme="minorHAnsi"/>
          <w:b/>
          <w:u w:val="single"/>
        </w:rPr>
        <w:t>FactSheet</w:t>
      </w:r>
      <w:proofErr w:type="spellEnd"/>
      <w:r w:rsidRPr="00DB412A">
        <w:rPr>
          <w:rFonts w:cstheme="minorHAnsi"/>
          <w:b/>
          <w:u w:val="single"/>
        </w:rPr>
        <w:t xml:space="preserve"> 2018</w:t>
      </w:r>
    </w:p>
    <w:p w14:paraId="4F7BDB5D" w14:textId="77777777" w:rsidR="00DB412A" w:rsidRDefault="00DB412A" w:rsidP="00B40EE6">
      <w:pPr>
        <w:rPr>
          <w:rFonts w:cstheme="minorHAnsi"/>
          <w:color w:val="000000"/>
          <w:sz w:val="21"/>
          <w:szCs w:val="21"/>
        </w:rPr>
      </w:pPr>
      <w:r>
        <w:rPr>
          <w:rFonts w:cstheme="minorHAnsi"/>
          <w:color w:val="000000"/>
          <w:sz w:val="21"/>
          <w:szCs w:val="21"/>
        </w:rPr>
        <w:t>According to the CDC’s National Institute of Occupational Safety and Health, back and m</w:t>
      </w:r>
      <w:r w:rsidR="00B40EE6" w:rsidRPr="003A7E60">
        <w:rPr>
          <w:rFonts w:cstheme="minorHAnsi"/>
          <w:color w:val="000000"/>
          <w:sz w:val="21"/>
          <w:szCs w:val="21"/>
        </w:rPr>
        <w:t>usculoskeletal injur</w:t>
      </w:r>
      <w:r w:rsidR="005E56B1">
        <w:rPr>
          <w:rFonts w:cstheme="minorHAnsi"/>
          <w:color w:val="000000"/>
          <w:sz w:val="21"/>
          <w:szCs w:val="21"/>
        </w:rPr>
        <w:t>y rates due to</w:t>
      </w:r>
      <w:r w:rsidR="00B40EE6" w:rsidRPr="003A7E60">
        <w:rPr>
          <w:rFonts w:cstheme="minorHAnsi"/>
          <w:color w:val="000000"/>
          <w:sz w:val="21"/>
          <w:szCs w:val="21"/>
        </w:rPr>
        <w:t xml:space="preserve"> overexertion in healthcare are among the highest </w:t>
      </w:r>
      <w:r>
        <w:rPr>
          <w:rFonts w:cstheme="minorHAnsi"/>
          <w:color w:val="000000"/>
          <w:sz w:val="21"/>
          <w:szCs w:val="21"/>
        </w:rPr>
        <w:t>in</w:t>
      </w:r>
      <w:r w:rsidR="00B40EE6" w:rsidRPr="003A7E60">
        <w:rPr>
          <w:rFonts w:cstheme="minorHAnsi"/>
          <w:color w:val="000000"/>
          <w:sz w:val="21"/>
          <w:szCs w:val="21"/>
        </w:rPr>
        <w:t xml:space="preserve"> all U.S. industries.</w:t>
      </w:r>
      <w:r w:rsidR="003A7E60">
        <w:rPr>
          <w:rFonts w:cstheme="minorHAnsi"/>
          <w:color w:val="000000"/>
          <w:sz w:val="21"/>
          <w:szCs w:val="21"/>
        </w:rPr>
        <w:t xml:space="preserve"> </w:t>
      </w:r>
      <w:r w:rsidR="003A7E60" w:rsidRPr="003A7E60">
        <w:rPr>
          <w:rFonts w:cstheme="minorHAnsi"/>
          <w:color w:val="000000"/>
          <w:sz w:val="21"/>
          <w:szCs w:val="21"/>
        </w:rPr>
        <w:t xml:space="preserve">The single greatest risk </w:t>
      </w:r>
      <w:r>
        <w:rPr>
          <w:rFonts w:cstheme="minorHAnsi"/>
          <w:color w:val="000000"/>
          <w:sz w:val="21"/>
          <w:szCs w:val="21"/>
        </w:rPr>
        <w:t xml:space="preserve">factor </w:t>
      </w:r>
      <w:r w:rsidR="003A7E60" w:rsidRPr="003A7E60">
        <w:rPr>
          <w:rFonts w:cstheme="minorHAnsi"/>
          <w:color w:val="000000"/>
          <w:sz w:val="21"/>
          <w:szCs w:val="21"/>
        </w:rPr>
        <w:t>for overexertion injuries in healthcar</w:t>
      </w:r>
      <w:r w:rsidR="003A7E60">
        <w:rPr>
          <w:rFonts w:cstheme="minorHAnsi"/>
          <w:color w:val="000000"/>
          <w:sz w:val="21"/>
          <w:szCs w:val="21"/>
        </w:rPr>
        <w:t>e</w:t>
      </w:r>
      <w:r w:rsidR="003A7E60" w:rsidRPr="003A7E60">
        <w:rPr>
          <w:rFonts w:cstheme="minorHAnsi"/>
          <w:color w:val="000000"/>
          <w:sz w:val="21"/>
          <w:szCs w:val="21"/>
        </w:rPr>
        <w:t xml:space="preserve"> is the manual lifting, moving and repositioning of patients, residents or clients, i.e., manual patient handling. </w:t>
      </w:r>
    </w:p>
    <w:p w14:paraId="58ADA6CC" w14:textId="0231E71C" w:rsidR="003A7E60" w:rsidRPr="00DB412A" w:rsidRDefault="003A7E60" w:rsidP="00B40EE6">
      <w:pPr>
        <w:rPr>
          <w:rFonts w:cstheme="minorHAnsi"/>
          <w:i/>
          <w:color w:val="000000"/>
          <w:sz w:val="21"/>
          <w:szCs w:val="21"/>
        </w:rPr>
      </w:pPr>
      <w:r w:rsidRPr="00DB412A">
        <w:rPr>
          <w:rFonts w:cstheme="minorHAnsi"/>
          <w:i/>
          <w:color w:val="000000"/>
          <w:sz w:val="21"/>
          <w:szCs w:val="21"/>
        </w:rPr>
        <w:t xml:space="preserve"> The cumulative weight lifted by a nurse in one typical shift is equivalent to 1.8 million tons. (1)</w:t>
      </w:r>
    </w:p>
    <w:p w14:paraId="1923484E" w14:textId="414731D3" w:rsidR="00B40EE6" w:rsidRPr="003A7E60" w:rsidRDefault="00B40EE6" w:rsidP="00B40EE6">
      <w:pPr>
        <w:rPr>
          <w:rFonts w:cstheme="minorHAnsi"/>
          <w:b/>
          <w:color w:val="000000"/>
          <w:sz w:val="21"/>
          <w:szCs w:val="21"/>
        </w:rPr>
      </w:pPr>
      <w:r w:rsidRPr="003A7E60">
        <w:rPr>
          <w:rFonts w:cstheme="minorHAnsi"/>
          <w:color w:val="000000"/>
          <w:sz w:val="21"/>
          <w:szCs w:val="21"/>
        </w:rPr>
        <w:t>Data from the Bureau of Labor Statistics (BLS) show that in 2014, the rate of overexertion injuries averaged across all industries was 33 per 10,000 full time workers. By comparison, the overexertion injury rate</w:t>
      </w:r>
      <w:r w:rsidR="005E56B1">
        <w:rPr>
          <w:rFonts w:cstheme="minorHAnsi"/>
          <w:color w:val="000000"/>
          <w:sz w:val="21"/>
          <w:szCs w:val="21"/>
        </w:rPr>
        <w:t>s</w:t>
      </w:r>
      <w:r w:rsidRPr="003A7E60">
        <w:rPr>
          <w:rFonts w:cstheme="minorHAnsi"/>
          <w:color w:val="000000"/>
          <w:sz w:val="21"/>
          <w:szCs w:val="21"/>
        </w:rPr>
        <w:t xml:space="preserve"> </w:t>
      </w:r>
      <w:r w:rsidR="003A7E60">
        <w:rPr>
          <w:rFonts w:cstheme="minorHAnsi"/>
          <w:color w:val="000000"/>
          <w:sz w:val="21"/>
          <w:szCs w:val="21"/>
        </w:rPr>
        <w:t xml:space="preserve">in healthcare </w:t>
      </w:r>
      <w:r w:rsidR="005E56B1">
        <w:rPr>
          <w:rFonts w:cstheme="minorHAnsi"/>
          <w:color w:val="000000"/>
          <w:sz w:val="21"/>
          <w:szCs w:val="21"/>
        </w:rPr>
        <w:t xml:space="preserve">professions </w:t>
      </w:r>
      <w:r w:rsidR="003A7E60">
        <w:rPr>
          <w:rFonts w:cstheme="minorHAnsi"/>
          <w:color w:val="000000"/>
          <w:sz w:val="21"/>
          <w:szCs w:val="21"/>
        </w:rPr>
        <w:t>looked like this:</w:t>
      </w:r>
      <w:r w:rsidRPr="003A7E60">
        <w:rPr>
          <w:rFonts w:cstheme="minorHAnsi"/>
          <w:b/>
          <w:color w:val="000000"/>
          <w:sz w:val="21"/>
          <w:szCs w:val="21"/>
        </w:rPr>
        <w:t xml:space="preserve"> </w:t>
      </w:r>
    </w:p>
    <w:p w14:paraId="78C6A0CE" w14:textId="27D2D8FD" w:rsidR="00B40EE6" w:rsidRPr="003A7E60" w:rsidRDefault="00B40EE6" w:rsidP="00B40EE6">
      <w:pPr>
        <w:pStyle w:val="ListParagraph"/>
        <w:numPr>
          <w:ilvl w:val="0"/>
          <w:numId w:val="1"/>
        </w:numPr>
        <w:rPr>
          <w:rFonts w:cstheme="minorHAnsi"/>
          <w:color w:val="000000"/>
          <w:sz w:val="13"/>
          <w:szCs w:val="13"/>
          <w:vertAlign w:val="superscript"/>
        </w:rPr>
      </w:pPr>
      <w:r w:rsidRPr="003A7E60">
        <w:rPr>
          <w:rFonts w:cstheme="minorHAnsi"/>
          <w:b/>
          <w:color w:val="000000"/>
          <w:sz w:val="21"/>
          <w:szCs w:val="21"/>
        </w:rPr>
        <w:t>hospital workers</w:t>
      </w:r>
      <w:r w:rsidR="003A7E60">
        <w:rPr>
          <w:rFonts w:cstheme="minorHAnsi"/>
          <w:b/>
          <w:color w:val="000000"/>
          <w:sz w:val="21"/>
          <w:szCs w:val="21"/>
        </w:rPr>
        <w:t>:</w:t>
      </w:r>
      <w:r w:rsidRPr="003A7E60">
        <w:rPr>
          <w:rFonts w:cstheme="minorHAnsi"/>
          <w:b/>
          <w:color w:val="000000"/>
          <w:sz w:val="21"/>
          <w:szCs w:val="21"/>
        </w:rPr>
        <w:t xml:space="preserve"> twice the average (68 per 10,000),</w:t>
      </w:r>
      <w:r w:rsidRPr="003A7E60">
        <w:rPr>
          <w:rFonts w:cstheme="minorHAnsi"/>
          <w:color w:val="000000"/>
          <w:sz w:val="21"/>
          <w:szCs w:val="21"/>
        </w:rPr>
        <w:t xml:space="preserve"> </w:t>
      </w:r>
    </w:p>
    <w:p w14:paraId="52BC3084" w14:textId="16F97421" w:rsidR="00B40EE6" w:rsidRPr="003A7E60" w:rsidRDefault="00B40EE6" w:rsidP="00B40EE6">
      <w:pPr>
        <w:pStyle w:val="ListParagraph"/>
        <w:numPr>
          <w:ilvl w:val="0"/>
          <w:numId w:val="1"/>
        </w:numPr>
        <w:rPr>
          <w:rFonts w:cstheme="minorHAnsi"/>
          <w:color w:val="000000"/>
          <w:sz w:val="13"/>
          <w:szCs w:val="13"/>
          <w:vertAlign w:val="superscript"/>
        </w:rPr>
      </w:pPr>
      <w:r w:rsidRPr="003A7E60">
        <w:rPr>
          <w:rFonts w:cstheme="minorHAnsi"/>
          <w:b/>
          <w:color w:val="000000"/>
          <w:sz w:val="21"/>
          <w:szCs w:val="21"/>
        </w:rPr>
        <w:t>nursing home workers</w:t>
      </w:r>
      <w:r w:rsidR="003A7E60">
        <w:rPr>
          <w:rFonts w:cstheme="minorHAnsi"/>
          <w:b/>
          <w:color w:val="000000"/>
          <w:sz w:val="21"/>
          <w:szCs w:val="21"/>
        </w:rPr>
        <w:t xml:space="preserve">: </w:t>
      </w:r>
      <w:r w:rsidRPr="003A7E60">
        <w:rPr>
          <w:rFonts w:cstheme="minorHAnsi"/>
          <w:b/>
          <w:color w:val="000000"/>
          <w:sz w:val="21"/>
          <w:szCs w:val="21"/>
        </w:rPr>
        <w:t xml:space="preserve">three times the average (107 per 10,000), </w:t>
      </w:r>
    </w:p>
    <w:p w14:paraId="2990E29E" w14:textId="4FFB7DE4" w:rsidR="00B40EE6" w:rsidRPr="003A7E60" w:rsidRDefault="00B40EE6" w:rsidP="00B40EE6">
      <w:pPr>
        <w:pStyle w:val="ListParagraph"/>
        <w:numPr>
          <w:ilvl w:val="0"/>
          <w:numId w:val="1"/>
        </w:numPr>
        <w:rPr>
          <w:rFonts w:cstheme="minorHAnsi"/>
          <w:color w:val="000000"/>
          <w:sz w:val="13"/>
          <w:szCs w:val="13"/>
          <w:vertAlign w:val="superscript"/>
        </w:rPr>
      </w:pPr>
      <w:r w:rsidRPr="003A7E60">
        <w:rPr>
          <w:rFonts w:cstheme="minorHAnsi"/>
          <w:b/>
          <w:color w:val="000000"/>
          <w:sz w:val="21"/>
          <w:szCs w:val="21"/>
        </w:rPr>
        <w:t>ambulance workers</w:t>
      </w:r>
      <w:r w:rsidR="003A7E60">
        <w:rPr>
          <w:rFonts w:cstheme="minorHAnsi"/>
          <w:b/>
          <w:color w:val="000000"/>
          <w:sz w:val="21"/>
          <w:szCs w:val="21"/>
        </w:rPr>
        <w:t xml:space="preserve">: </w:t>
      </w:r>
      <w:r w:rsidRPr="003A7E60">
        <w:rPr>
          <w:rFonts w:cstheme="minorHAnsi"/>
          <w:b/>
          <w:color w:val="000000"/>
          <w:sz w:val="21"/>
          <w:szCs w:val="21"/>
        </w:rPr>
        <w:t>five times the average (174 per 10,000).</w:t>
      </w:r>
      <w:hyperlink r:id="rId6" w:anchor="source1" w:history="1">
        <w:r w:rsidRPr="003A7E60">
          <w:rPr>
            <w:rStyle w:val="Hyperlink"/>
            <w:rFonts w:cstheme="minorHAnsi"/>
            <w:color w:val="075290"/>
            <w:sz w:val="13"/>
            <w:szCs w:val="13"/>
            <w:vertAlign w:val="superscript"/>
          </w:rPr>
          <w:t>1</w:t>
        </w:r>
      </w:hyperlink>
      <w:r w:rsidRPr="003A7E60">
        <w:rPr>
          <w:rFonts w:cstheme="minorHAnsi"/>
          <w:color w:val="000000"/>
          <w:sz w:val="13"/>
          <w:szCs w:val="13"/>
          <w:vertAlign w:val="superscript"/>
        </w:rPr>
        <w:t xml:space="preserve">  </w:t>
      </w:r>
    </w:p>
    <w:p w14:paraId="4D2CEB07" w14:textId="55B2F3C9" w:rsidR="0017471A" w:rsidRPr="0017471A" w:rsidRDefault="0017471A" w:rsidP="00B40EE6">
      <w:pPr>
        <w:rPr>
          <w:rFonts w:cstheme="minorHAnsi"/>
        </w:rPr>
      </w:pPr>
      <w:r w:rsidRPr="0017471A">
        <w:rPr>
          <w:rFonts w:cstheme="minorHAnsi"/>
        </w:rPr>
        <w:t xml:space="preserve">Manual patient handling has negative consequences for quality of care as well as patient safety and comfort; </w:t>
      </w:r>
      <w:r w:rsidR="005E56B1">
        <w:rPr>
          <w:rFonts w:cstheme="minorHAnsi"/>
        </w:rPr>
        <w:t>causing</w:t>
      </w:r>
      <w:r w:rsidRPr="0017471A">
        <w:rPr>
          <w:rFonts w:cstheme="minorHAnsi"/>
        </w:rPr>
        <w:t xml:space="preserve"> damage to patient shoulders from manual lifting techniques, hip fractures from being dropped, bruising, skin tears and pain; and patient fear and loss of dignity during lifting procedures. </w:t>
      </w:r>
    </w:p>
    <w:p w14:paraId="11EE205D" w14:textId="78BAFE7A" w:rsidR="006B7CBA" w:rsidRPr="00036C05" w:rsidRDefault="003A7E60" w:rsidP="00B40EE6">
      <w:pPr>
        <w:rPr>
          <w:rFonts w:cstheme="minorHAnsi"/>
          <w:color w:val="000000"/>
          <w:sz w:val="21"/>
          <w:szCs w:val="21"/>
        </w:rPr>
      </w:pPr>
      <w:r>
        <w:rPr>
          <w:rFonts w:cstheme="minorHAnsi"/>
          <w:color w:val="000000"/>
          <w:sz w:val="21"/>
          <w:szCs w:val="21"/>
        </w:rPr>
        <w:t>Patient handling injuries</w:t>
      </w:r>
      <w:r w:rsidRPr="003A7E60">
        <w:rPr>
          <w:rFonts w:cstheme="minorHAnsi"/>
          <w:color w:val="000000"/>
          <w:sz w:val="21"/>
          <w:szCs w:val="21"/>
        </w:rPr>
        <w:t xml:space="preserve"> </w:t>
      </w:r>
      <w:r w:rsidR="00036C05">
        <w:rPr>
          <w:rFonts w:cstheme="minorHAnsi"/>
          <w:color w:val="000000"/>
          <w:sz w:val="21"/>
          <w:szCs w:val="21"/>
        </w:rPr>
        <w:t xml:space="preserve">are costly and can be </w:t>
      </w:r>
      <w:r>
        <w:rPr>
          <w:rFonts w:cstheme="minorHAnsi"/>
          <w:color w:val="000000"/>
          <w:sz w:val="21"/>
          <w:szCs w:val="21"/>
        </w:rPr>
        <w:t>career</w:t>
      </w:r>
      <w:r w:rsidR="00036C05">
        <w:rPr>
          <w:rFonts w:cstheme="minorHAnsi"/>
          <w:color w:val="000000"/>
          <w:sz w:val="21"/>
          <w:szCs w:val="21"/>
        </w:rPr>
        <w:t>-</w:t>
      </w:r>
      <w:r>
        <w:rPr>
          <w:rFonts w:cstheme="minorHAnsi"/>
          <w:color w:val="000000"/>
          <w:sz w:val="21"/>
          <w:szCs w:val="21"/>
        </w:rPr>
        <w:t>ending</w:t>
      </w:r>
      <w:r w:rsidR="00036C05">
        <w:rPr>
          <w:rFonts w:cstheme="minorHAnsi"/>
          <w:color w:val="000000"/>
          <w:sz w:val="21"/>
          <w:szCs w:val="21"/>
        </w:rPr>
        <w:t xml:space="preserve"> for healthcare workers</w:t>
      </w:r>
      <w:r w:rsidR="009A369D">
        <w:rPr>
          <w:rFonts w:cstheme="minorHAnsi"/>
          <w:color w:val="000000"/>
          <w:sz w:val="21"/>
          <w:szCs w:val="21"/>
        </w:rPr>
        <w:t xml:space="preserve">.  </w:t>
      </w:r>
      <w:r w:rsidR="000D5F38">
        <w:rPr>
          <w:rFonts w:cstheme="minorHAnsi"/>
        </w:rPr>
        <w:t>M</w:t>
      </w:r>
      <w:r w:rsidR="006B7CBA" w:rsidRPr="003A7E60">
        <w:rPr>
          <w:rFonts w:cstheme="minorHAnsi"/>
        </w:rPr>
        <w:t xml:space="preserve">usculoskeletal injuries among hospital workers </w:t>
      </w:r>
      <w:r w:rsidR="000D5F38">
        <w:rPr>
          <w:rFonts w:cstheme="minorHAnsi"/>
        </w:rPr>
        <w:t>are</w:t>
      </w:r>
      <w:r w:rsidR="006B7CBA" w:rsidRPr="003A7E60">
        <w:rPr>
          <w:rFonts w:cstheme="minorHAnsi"/>
        </w:rPr>
        <w:t xml:space="preserve"> increasing, a result of inadequate staffing</w:t>
      </w:r>
      <w:r w:rsidR="000D5F38">
        <w:rPr>
          <w:rFonts w:cstheme="minorHAnsi"/>
        </w:rPr>
        <w:t xml:space="preserve"> levels and</w:t>
      </w:r>
      <w:r w:rsidR="0017471A">
        <w:rPr>
          <w:rFonts w:cstheme="minorHAnsi"/>
        </w:rPr>
        <w:t xml:space="preserve"> poor</w:t>
      </w:r>
      <w:r w:rsidR="000D5F38">
        <w:rPr>
          <w:rFonts w:cstheme="minorHAnsi"/>
        </w:rPr>
        <w:t xml:space="preserve"> risk management</w:t>
      </w:r>
      <w:r w:rsidR="0017471A">
        <w:rPr>
          <w:rFonts w:cstheme="minorHAnsi"/>
        </w:rPr>
        <w:t>,</w:t>
      </w:r>
      <w:r w:rsidR="000D5F38">
        <w:rPr>
          <w:rFonts w:cstheme="minorHAnsi"/>
        </w:rPr>
        <w:t xml:space="preserve"> combined with patients who</w:t>
      </w:r>
      <w:r w:rsidR="0017471A">
        <w:rPr>
          <w:rFonts w:cstheme="minorHAnsi"/>
        </w:rPr>
        <w:t xml:space="preserve"> are</w:t>
      </w:r>
      <w:r w:rsidR="000D5F38">
        <w:rPr>
          <w:rFonts w:cstheme="minorHAnsi"/>
        </w:rPr>
        <w:t xml:space="preserve"> liv</w:t>
      </w:r>
      <w:r w:rsidR="0017471A">
        <w:rPr>
          <w:rFonts w:cstheme="minorHAnsi"/>
        </w:rPr>
        <w:t>ing</w:t>
      </w:r>
      <w:r w:rsidR="000D5F38">
        <w:rPr>
          <w:rFonts w:cstheme="minorHAnsi"/>
        </w:rPr>
        <w:t xml:space="preserve"> longer and present</w:t>
      </w:r>
      <w:r w:rsidR="0017471A">
        <w:rPr>
          <w:rFonts w:cstheme="minorHAnsi"/>
        </w:rPr>
        <w:t>ing</w:t>
      </w:r>
      <w:r w:rsidR="000D5F38">
        <w:rPr>
          <w:rFonts w:cstheme="minorHAnsi"/>
        </w:rPr>
        <w:t xml:space="preserve"> with acute illness</w:t>
      </w:r>
      <w:r w:rsidR="00036C05">
        <w:rPr>
          <w:rFonts w:cstheme="minorHAnsi"/>
        </w:rPr>
        <w:t xml:space="preserve"> and obesity.</w:t>
      </w:r>
    </w:p>
    <w:p w14:paraId="6CBF616F" w14:textId="01A7CC42" w:rsidR="006B7CBA" w:rsidRPr="003A7E60" w:rsidRDefault="00036C05" w:rsidP="00B40EE6">
      <w:pPr>
        <w:rPr>
          <w:rFonts w:cstheme="minorHAnsi"/>
        </w:rPr>
      </w:pPr>
      <w:r>
        <w:rPr>
          <w:rFonts w:cstheme="minorHAnsi"/>
        </w:rPr>
        <w:t>I</w:t>
      </w:r>
      <w:r w:rsidR="006B7CBA" w:rsidRPr="003A7E60">
        <w:rPr>
          <w:rFonts w:cstheme="minorHAnsi"/>
        </w:rPr>
        <w:t xml:space="preserve">njuries to </w:t>
      </w:r>
      <w:r w:rsidR="000D5F38">
        <w:rPr>
          <w:rFonts w:cstheme="minorHAnsi"/>
        </w:rPr>
        <w:t xml:space="preserve">patients and </w:t>
      </w:r>
      <w:r w:rsidR="006B7CBA" w:rsidRPr="003A7E60">
        <w:rPr>
          <w:rFonts w:cstheme="minorHAnsi"/>
        </w:rPr>
        <w:t>caregivers</w:t>
      </w:r>
      <w:r w:rsidR="000D5F38">
        <w:rPr>
          <w:rFonts w:cstheme="minorHAnsi"/>
        </w:rPr>
        <w:t xml:space="preserve"> </w:t>
      </w:r>
      <w:r w:rsidR="006B7CBA" w:rsidRPr="003A7E60">
        <w:rPr>
          <w:rFonts w:cstheme="minorHAnsi"/>
        </w:rPr>
        <w:t>are costly to the healthcare system</w:t>
      </w:r>
      <w:r w:rsidR="000D5F38">
        <w:rPr>
          <w:rFonts w:cstheme="minorHAnsi"/>
        </w:rPr>
        <w:t>. Direct costs</w:t>
      </w:r>
      <w:r w:rsidR="006B7CBA" w:rsidRPr="003A7E60">
        <w:rPr>
          <w:rFonts w:cstheme="minorHAnsi"/>
        </w:rPr>
        <w:t xml:space="preserve"> include Worker’s Compensation lost time payments</w:t>
      </w:r>
      <w:r w:rsidR="000D5F38">
        <w:rPr>
          <w:rFonts w:cstheme="minorHAnsi"/>
        </w:rPr>
        <w:t xml:space="preserve"> and</w:t>
      </w:r>
      <w:r>
        <w:rPr>
          <w:rFonts w:cstheme="minorHAnsi"/>
        </w:rPr>
        <w:t xml:space="preserve"> employee</w:t>
      </w:r>
      <w:r w:rsidR="006B7CBA" w:rsidRPr="003A7E60">
        <w:rPr>
          <w:rFonts w:cstheme="minorHAnsi"/>
        </w:rPr>
        <w:t xml:space="preserve"> medical expenses</w:t>
      </w:r>
      <w:r w:rsidR="000D5F38">
        <w:rPr>
          <w:rFonts w:cstheme="minorHAnsi"/>
        </w:rPr>
        <w:t>.</w:t>
      </w:r>
      <w:r w:rsidR="006B7CBA" w:rsidRPr="003A7E60">
        <w:rPr>
          <w:rFonts w:cstheme="minorHAnsi"/>
        </w:rPr>
        <w:t xml:space="preserve">  Hidden costs include </w:t>
      </w:r>
      <w:r w:rsidR="000D5F38">
        <w:rPr>
          <w:rFonts w:cstheme="minorHAnsi"/>
        </w:rPr>
        <w:t>lost productivity,</w:t>
      </w:r>
      <w:r w:rsidR="006B7CBA" w:rsidRPr="003A7E60">
        <w:rPr>
          <w:rFonts w:cstheme="minorHAnsi"/>
        </w:rPr>
        <w:t xml:space="preserve"> employee</w:t>
      </w:r>
      <w:r w:rsidR="000D5F38">
        <w:rPr>
          <w:rFonts w:cstheme="minorHAnsi"/>
        </w:rPr>
        <w:t xml:space="preserve"> replacement and </w:t>
      </w:r>
      <w:r w:rsidR="006B7CBA" w:rsidRPr="003A7E60">
        <w:rPr>
          <w:rFonts w:cstheme="minorHAnsi"/>
        </w:rPr>
        <w:t>training, overtime,</w:t>
      </w:r>
      <w:r>
        <w:rPr>
          <w:rFonts w:cstheme="minorHAnsi"/>
        </w:rPr>
        <w:t xml:space="preserve"> </w:t>
      </w:r>
      <w:r w:rsidR="006B7CBA" w:rsidRPr="003A7E60">
        <w:rPr>
          <w:rFonts w:cstheme="minorHAnsi"/>
        </w:rPr>
        <w:t xml:space="preserve">administrative </w:t>
      </w:r>
      <w:r>
        <w:rPr>
          <w:rFonts w:cstheme="minorHAnsi"/>
        </w:rPr>
        <w:t>burdens</w:t>
      </w:r>
      <w:r w:rsidR="006B7CBA" w:rsidRPr="003A7E60">
        <w:rPr>
          <w:rFonts w:cstheme="minorHAnsi"/>
        </w:rPr>
        <w:t xml:space="preserve">, liability related to patient injuries, and </w:t>
      </w:r>
      <w:r>
        <w:rPr>
          <w:rFonts w:cstheme="minorHAnsi"/>
        </w:rPr>
        <w:t xml:space="preserve">workplace </w:t>
      </w:r>
      <w:r w:rsidR="006B7CBA" w:rsidRPr="003A7E60">
        <w:rPr>
          <w:rFonts w:cstheme="minorHAnsi"/>
        </w:rPr>
        <w:t>loss of morale.</w:t>
      </w:r>
    </w:p>
    <w:p w14:paraId="2A452A94" w14:textId="3CAD948E" w:rsidR="00DB412A" w:rsidRDefault="006B7CBA" w:rsidP="00B40EE6">
      <w:pPr>
        <w:rPr>
          <w:rFonts w:cstheme="minorHAnsi"/>
        </w:rPr>
      </w:pPr>
      <w:r w:rsidRPr="00036C05">
        <w:rPr>
          <w:rFonts w:cstheme="minorHAnsi"/>
          <w:b/>
        </w:rPr>
        <w:t xml:space="preserve">In New Jersey, implementing a </w:t>
      </w:r>
      <w:r w:rsidR="00036C05">
        <w:rPr>
          <w:rFonts w:cstheme="minorHAnsi"/>
          <w:b/>
        </w:rPr>
        <w:t xml:space="preserve">Safe Patient Handling Program </w:t>
      </w:r>
      <w:r w:rsidR="00AF3819" w:rsidRPr="00036C05">
        <w:rPr>
          <w:rFonts w:cstheme="minorHAnsi"/>
          <w:b/>
        </w:rPr>
        <w:t xml:space="preserve">to reduce injury to both patients and healthcare workers </w:t>
      </w:r>
      <w:r w:rsidRPr="00036C05">
        <w:rPr>
          <w:rFonts w:cstheme="minorHAnsi"/>
          <w:b/>
        </w:rPr>
        <w:t>is State law.</w:t>
      </w:r>
      <w:r w:rsidR="00AF3819" w:rsidRPr="003A7E60">
        <w:rPr>
          <w:rFonts w:cstheme="minorHAnsi"/>
        </w:rPr>
        <w:t xml:space="preserve"> The </w:t>
      </w:r>
      <w:r w:rsidR="000D5F38">
        <w:rPr>
          <w:rFonts w:cstheme="minorHAnsi"/>
        </w:rPr>
        <w:t xml:space="preserve">NJ </w:t>
      </w:r>
      <w:r w:rsidR="00AF3819" w:rsidRPr="003A7E60">
        <w:rPr>
          <w:rFonts w:cstheme="minorHAnsi"/>
        </w:rPr>
        <w:t xml:space="preserve">Safe Patient Handling Act </w:t>
      </w:r>
      <w:r w:rsidR="00036C05">
        <w:rPr>
          <w:rFonts w:cstheme="minorHAnsi"/>
        </w:rPr>
        <w:t>mandates</w:t>
      </w:r>
      <w:r w:rsidR="00AF3819" w:rsidRPr="003A7E60">
        <w:rPr>
          <w:rFonts w:cstheme="minorHAnsi"/>
        </w:rPr>
        <w:t xml:space="preserve"> assisted patient handling devices such as electric beds, portable base and ceiling track body sling lifts, stand assist lifts, and mechanized transfer aids. The law requires that</w:t>
      </w:r>
      <w:r w:rsidR="00954BA0">
        <w:rPr>
          <w:rFonts w:cstheme="minorHAnsi"/>
        </w:rPr>
        <w:t xml:space="preserve"> each patient be assessed to </w:t>
      </w:r>
      <w:r w:rsidR="00AF3819" w:rsidRPr="003A7E60">
        <w:rPr>
          <w:rFonts w:cstheme="minorHAnsi"/>
        </w:rPr>
        <w:t>determine wh</w:t>
      </w:r>
      <w:r w:rsidR="00954BA0">
        <w:rPr>
          <w:rFonts w:cstheme="minorHAnsi"/>
        </w:rPr>
        <w:t>ich</w:t>
      </w:r>
      <w:r w:rsidR="00AF3819" w:rsidRPr="003A7E60">
        <w:rPr>
          <w:rFonts w:cstheme="minorHAnsi"/>
        </w:rPr>
        <w:t xml:space="preserve"> assistive devices </w:t>
      </w:r>
      <w:r w:rsidR="00954BA0">
        <w:rPr>
          <w:rFonts w:cstheme="minorHAnsi"/>
        </w:rPr>
        <w:t>are needed</w:t>
      </w:r>
      <w:r w:rsidR="00AF3819" w:rsidRPr="003A7E60">
        <w:rPr>
          <w:rFonts w:cstheme="minorHAnsi"/>
        </w:rPr>
        <w:t xml:space="preserve"> to move</w:t>
      </w:r>
      <w:r w:rsidR="00954BA0">
        <w:rPr>
          <w:rFonts w:cstheme="minorHAnsi"/>
        </w:rPr>
        <w:t xml:space="preserve"> them </w:t>
      </w:r>
      <w:r w:rsidR="00AF3819" w:rsidRPr="003A7E60">
        <w:rPr>
          <w:rFonts w:cstheme="minorHAnsi"/>
        </w:rPr>
        <w:t xml:space="preserve">safely. It ensures that healthcare workers </w:t>
      </w:r>
      <w:r w:rsidR="00036C05">
        <w:rPr>
          <w:rFonts w:cstheme="minorHAnsi"/>
        </w:rPr>
        <w:t xml:space="preserve">using </w:t>
      </w:r>
      <w:r w:rsidR="00AF3819" w:rsidRPr="003A7E60">
        <w:rPr>
          <w:rFonts w:cstheme="minorHAnsi"/>
        </w:rPr>
        <w:t xml:space="preserve">this equipment are properly trained. And it </w:t>
      </w:r>
      <w:r w:rsidR="00036C05">
        <w:rPr>
          <w:rFonts w:cstheme="minorHAnsi"/>
        </w:rPr>
        <w:t>requires the formation of Safe Lifting</w:t>
      </w:r>
      <w:r w:rsidR="00AF3819" w:rsidRPr="003A7E60">
        <w:rPr>
          <w:rFonts w:cstheme="minorHAnsi"/>
        </w:rPr>
        <w:t xml:space="preserve"> committees made up of both direct care employees and management</w:t>
      </w:r>
      <w:r w:rsidR="00036C05">
        <w:rPr>
          <w:rFonts w:cstheme="minorHAnsi"/>
        </w:rPr>
        <w:t>, who</w:t>
      </w:r>
      <w:r w:rsidR="00954BA0">
        <w:rPr>
          <w:rFonts w:cstheme="minorHAnsi"/>
        </w:rPr>
        <w:t xml:space="preserve"> must</w:t>
      </w:r>
      <w:r w:rsidR="00036C05">
        <w:rPr>
          <w:rFonts w:cstheme="minorHAnsi"/>
        </w:rPr>
        <w:t xml:space="preserve"> work</w:t>
      </w:r>
      <w:r w:rsidR="00954BA0">
        <w:rPr>
          <w:rFonts w:cstheme="minorHAnsi"/>
        </w:rPr>
        <w:t xml:space="preserve"> together</w:t>
      </w:r>
      <w:r w:rsidR="00AF3819" w:rsidRPr="003A7E60">
        <w:rPr>
          <w:rFonts w:cstheme="minorHAnsi"/>
        </w:rPr>
        <w:t xml:space="preserve"> to review and continually improve safe handing program</w:t>
      </w:r>
      <w:r w:rsidR="00036C05">
        <w:rPr>
          <w:rFonts w:cstheme="minorHAnsi"/>
        </w:rPr>
        <w:t>s</w:t>
      </w:r>
      <w:r w:rsidR="00AF3819" w:rsidRPr="003A7E60">
        <w:rPr>
          <w:rFonts w:cstheme="minorHAnsi"/>
        </w:rPr>
        <w:t xml:space="preserve"> at the facility.</w:t>
      </w:r>
      <w:r w:rsidR="001227EA" w:rsidRPr="003A7E60">
        <w:rPr>
          <w:rFonts w:cstheme="minorHAnsi"/>
        </w:rPr>
        <w:t xml:space="preserve"> </w:t>
      </w:r>
    </w:p>
    <w:p w14:paraId="65F0D9E0" w14:textId="7962966A" w:rsidR="006B7CBA" w:rsidRDefault="001227EA" w:rsidP="00B40EE6">
      <w:pPr>
        <w:rPr>
          <w:rStyle w:val="Hyperlink"/>
          <w:rFonts w:cstheme="minorHAnsi"/>
        </w:rPr>
      </w:pPr>
      <w:r w:rsidRPr="003A7E60">
        <w:rPr>
          <w:rFonts w:cstheme="minorHAnsi"/>
        </w:rPr>
        <w:t>Here is a link to th</w:t>
      </w:r>
      <w:r w:rsidR="003A7E60">
        <w:rPr>
          <w:rFonts w:cstheme="minorHAnsi"/>
        </w:rPr>
        <w:t xml:space="preserve">e NJ Safe </w:t>
      </w:r>
      <w:r w:rsidR="0017471A">
        <w:rPr>
          <w:rFonts w:cstheme="minorHAnsi"/>
        </w:rPr>
        <w:t>P</w:t>
      </w:r>
      <w:r w:rsidR="003A7E60">
        <w:rPr>
          <w:rFonts w:cstheme="minorHAnsi"/>
        </w:rPr>
        <w:t>atient Lifting Act</w:t>
      </w:r>
      <w:r w:rsidRPr="003A7E60">
        <w:rPr>
          <w:rFonts w:cstheme="minorHAnsi"/>
        </w:rPr>
        <w:t xml:space="preserve">: </w:t>
      </w:r>
      <w:hyperlink r:id="rId7" w:history="1">
        <w:r w:rsidRPr="003A7E60">
          <w:rPr>
            <w:rStyle w:val="Hyperlink"/>
            <w:rFonts w:cstheme="minorHAnsi"/>
          </w:rPr>
          <w:t>ftp://www.njleg.state.nj.us/20062007/S2000/1758_I1.PDF</w:t>
        </w:r>
      </w:hyperlink>
    </w:p>
    <w:p w14:paraId="563169ED" w14:textId="77777777" w:rsidR="009239C6" w:rsidRPr="003A7E60" w:rsidRDefault="009239C6" w:rsidP="00B40EE6">
      <w:pPr>
        <w:rPr>
          <w:rFonts w:cstheme="minorHAnsi"/>
        </w:rPr>
      </w:pPr>
    </w:p>
    <w:p w14:paraId="6A62C3F7" w14:textId="6A04DC94" w:rsidR="00B40EE6" w:rsidRPr="003A7E60" w:rsidRDefault="00B40EE6" w:rsidP="00B40EE6">
      <w:pPr>
        <w:spacing w:after="0" w:line="240" w:lineRule="auto"/>
        <w:rPr>
          <w:rFonts w:cstheme="minorHAnsi"/>
        </w:rPr>
      </w:pPr>
    </w:p>
    <w:p w14:paraId="22DC1EBB" w14:textId="6A28E4D3" w:rsidR="00B40EE6" w:rsidRPr="00DB412A" w:rsidRDefault="00B40EE6" w:rsidP="00B40EE6">
      <w:pPr>
        <w:spacing w:after="0" w:line="240" w:lineRule="auto"/>
        <w:rPr>
          <w:rFonts w:cstheme="minorHAnsi"/>
          <w:b/>
          <w:u w:val="single"/>
        </w:rPr>
      </w:pPr>
      <w:r w:rsidRPr="00DB412A">
        <w:rPr>
          <w:rFonts w:cstheme="minorHAnsi"/>
          <w:b/>
          <w:u w:val="single"/>
        </w:rPr>
        <w:t>Online Resources</w:t>
      </w:r>
      <w:r w:rsidR="003A7E60" w:rsidRPr="00DB412A">
        <w:rPr>
          <w:rFonts w:cstheme="minorHAnsi"/>
          <w:b/>
          <w:u w:val="single"/>
        </w:rPr>
        <w:t xml:space="preserve"> -</w:t>
      </w:r>
      <w:r w:rsidR="001227EA" w:rsidRPr="00DB412A">
        <w:rPr>
          <w:rFonts w:cstheme="minorHAnsi"/>
          <w:b/>
          <w:u w:val="single"/>
        </w:rPr>
        <w:t xml:space="preserve"> Ergonomics and Safe Patient Lifting Programs</w:t>
      </w:r>
    </w:p>
    <w:p w14:paraId="06C3BC38" w14:textId="7389F2DD" w:rsidR="00A83610" w:rsidRPr="003A7E60" w:rsidRDefault="00A83610" w:rsidP="00A83610">
      <w:pPr>
        <w:spacing w:after="0" w:line="240" w:lineRule="auto"/>
        <w:rPr>
          <w:rFonts w:cstheme="minorHAnsi"/>
        </w:rPr>
      </w:pPr>
    </w:p>
    <w:p w14:paraId="59B55843" w14:textId="40B60CE8" w:rsidR="00A83610" w:rsidRPr="003A7E60" w:rsidRDefault="00A83610" w:rsidP="00A83610">
      <w:pPr>
        <w:spacing w:after="0" w:line="240" w:lineRule="auto"/>
        <w:rPr>
          <w:rFonts w:cstheme="minorHAnsi"/>
        </w:rPr>
      </w:pPr>
    </w:p>
    <w:p w14:paraId="2319FD32" w14:textId="143C5078" w:rsidR="00A83610" w:rsidRPr="003A7E60" w:rsidRDefault="00A83610" w:rsidP="00A83610">
      <w:pPr>
        <w:spacing w:after="0" w:line="240" w:lineRule="auto"/>
        <w:rPr>
          <w:rFonts w:cstheme="minorHAnsi"/>
        </w:rPr>
      </w:pPr>
      <w:r w:rsidRPr="003A7E60">
        <w:rPr>
          <w:rFonts w:cstheme="minorHAnsi"/>
        </w:rPr>
        <w:t>OSHA</w:t>
      </w:r>
      <w:r w:rsidR="00EB5238">
        <w:rPr>
          <w:rFonts w:cstheme="minorHAnsi"/>
        </w:rPr>
        <w:t>:</w:t>
      </w:r>
      <w:r w:rsidRPr="003A7E60">
        <w:rPr>
          <w:rFonts w:cstheme="minorHAnsi"/>
        </w:rPr>
        <w:t xml:space="preserve"> Hospital Wide Hazards – Ergonomics; Patient Handling: Slip, Trip, Fall; Awkward Postures</w:t>
      </w:r>
    </w:p>
    <w:p w14:paraId="364008B7" w14:textId="189E2B45" w:rsidR="00A83610" w:rsidRPr="003A7E60" w:rsidRDefault="00DE1346" w:rsidP="00A83610">
      <w:pPr>
        <w:spacing w:after="0" w:line="240" w:lineRule="auto"/>
        <w:rPr>
          <w:rFonts w:cstheme="minorHAnsi"/>
        </w:rPr>
      </w:pPr>
      <w:hyperlink r:id="rId8" w:anchor="Ergonomics" w:history="1">
        <w:r w:rsidR="00A83610" w:rsidRPr="003A7E60">
          <w:rPr>
            <w:rStyle w:val="Hyperlink"/>
            <w:rFonts w:cstheme="minorHAnsi"/>
          </w:rPr>
          <w:t>https://www.osha.gov/SLTC/etools/hospital/hazards/ergo/ergo.html#Ergonomics</w:t>
        </w:r>
      </w:hyperlink>
    </w:p>
    <w:p w14:paraId="06EEBE73" w14:textId="100D0717" w:rsidR="00B40EE6" w:rsidRPr="003A7E60" w:rsidRDefault="00B40EE6" w:rsidP="00A83610">
      <w:pPr>
        <w:spacing w:after="0" w:line="240" w:lineRule="auto"/>
        <w:rPr>
          <w:rFonts w:cstheme="minorHAnsi"/>
        </w:rPr>
      </w:pPr>
    </w:p>
    <w:p w14:paraId="5ED5B181" w14:textId="4D12EF2E" w:rsidR="00B40EE6" w:rsidRPr="003A7E60" w:rsidRDefault="00B40EE6" w:rsidP="00A83610">
      <w:pPr>
        <w:spacing w:after="0" w:line="240" w:lineRule="auto"/>
        <w:rPr>
          <w:rFonts w:cstheme="minorHAnsi"/>
        </w:rPr>
      </w:pPr>
      <w:r w:rsidRPr="003A7E60">
        <w:rPr>
          <w:rFonts w:cstheme="minorHAnsi"/>
        </w:rPr>
        <w:t>OSHA: Patient Handling</w:t>
      </w:r>
    </w:p>
    <w:p w14:paraId="2E48A61B" w14:textId="27EA92B2" w:rsidR="00B40EE6" w:rsidRPr="003A7E60" w:rsidRDefault="00DE1346" w:rsidP="00A83610">
      <w:pPr>
        <w:spacing w:after="0" w:line="240" w:lineRule="auto"/>
        <w:rPr>
          <w:rFonts w:cstheme="minorHAnsi"/>
        </w:rPr>
      </w:pPr>
      <w:hyperlink r:id="rId9" w:history="1">
        <w:r w:rsidR="00B40EE6" w:rsidRPr="003A7E60">
          <w:rPr>
            <w:rStyle w:val="Hyperlink"/>
            <w:rFonts w:cstheme="minorHAnsi"/>
          </w:rPr>
          <w:t>https://www.osha.gov/dsg/hospitals/patient_handling.html</w:t>
        </w:r>
      </w:hyperlink>
    </w:p>
    <w:p w14:paraId="62B5A876" w14:textId="6E0CB14C" w:rsidR="00A83610" w:rsidRPr="003A7E60" w:rsidRDefault="00A83610" w:rsidP="00A83610">
      <w:pPr>
        <w:spacing w:after="0" w:line="240" w:lineRule="auto"/>
        <w:rPr>
          <w:rFonts w:cstheme="minorHAnsi"/>
        </w:rPr>
      </w:pPr>
    </w:p>
    <w:p w14:paraId="77FAA92A" w14:textId="49A7395F" w:rsidR="00A83610" w:rsidRPr="003A7E60" w:rsidRDefault="00A83610" w:rsidP="00A83610">
      <w:pPr>
        <w:spacing w:after="0" w:line="240" w:lineRule="auto"/>
        <w:rPr>
          <w:rFonts w:cstheme="minorHAnsi"/>
        </w:rPr>
      </w:pPr>
      <w:r w:rsidRPr="003A7E60">
        <w:rPr>
          <w:rFonts w:cstheme="minorHAnsi"/>
        </w:rPr>
        <w:t xml:space="preserve">CDC: Safe </w:t>
      </w:r>
      <w:r w:rsidR="00B40EE6" w:rsidRPr="003A7E60">
        <w:rPr>
          <w:rFonts w:cstheme="minorHAnsi"/>
        </w:rPr>
        <w:t>P</w:t>
      </w:r>
      <w:r w:rsidRPr="003A7E60">
        <w:rPr>
          <w:rFonts w:cstheme="minorHAnsi"/>
        </w:rPr>
        <w:t xml:space="preserve">atient </w:t>
      </w:r>
      <w:r w:rsidR="00B40EE6" w:rsidRPr="003A7E60">
        <w:rPr>
          <w:rFonts w:cstheme="minorHAnsi"/>
        </w:rPr>
        <w:t>H</w:t>
      </w:r>
      <w:r w:rsidRPr="003A7E60">
        <w:rPr>
          <w:rFonts w:cstheme="minorHAnsi"/>
        </w:rPr>
        <w:t>andling and Mobility</w:t>
      </w:r>
    </w:p>
    <w:p w14:paraId="72C7AC53" w14:textId="28C0B990" w:rsidR="00A83610" w:rsidRDefault="00DE1346" w:rsidP="00A83610">
      <w:pPr>
        <w:spacing w:after="0" w:line="240" w:lineRule="auto"/>
        <w:rPr>
          <w:rStyle w:val="Hyperlink"/>
          <w:rFonts w:cstheme="minorHAnsi"/>
        </w:rPr>
      </w:pPr>
      <w:hyperlink r:id="rId10" w:history="1">
        <w:r w:rsidR="00A83610" w:rsidRPr="003A7E60">
          <w:rPr>
            <w:rStyle w:val="Hyperlink"/>
            <w:rFonts w:cstheme="minorHAnsi"/>
          </w:rPr>
          <w:t>https://www.cdc.gov/niosh/topics/safepatient/</w:t>
        </w:r>
      </w:hyperlink>
    </w:p>
    <w:p w14:paraId="049B985E" w14:textId="6030F376" w:rsidR="00DB412A" w:rsidRDefault="00DB412A" w:rsidP="00A83610">
      <w:pPr>
        <w:spacing w:after="0" w:line="240" w:lineRule="auto"/>
        <w:rPr>
          <w:rFonts w:cstheme="minorHAnsi"/>
        </w:rPr>
      </w:pPr>
    </w:p>
    <w:p w14:paraId="50F8E13D" w14:textId="42B30AFF" w:rsidR="00DB412A" w:rsidRDefault="00DB412A" w:rsidP="00A83610">
      <w:pPr>
        <w:spacing w:after="0" w:line="240" w:lineRule="auto"/>
        <w:rPr>
          <w:rFonts w:cstheme="minorHAnsi"/>
        </w:rPr>
      </w:pPr>
      <w:r>
        <w:rPr>
          <w:rFonts w:cstheme="minorHAnsi"/>
        </w:rPr>
        <w:t xml:space="preserve">CDC: When is it safe to manually lift a patient? </w:t>
      </w:r>
    </w:p>
    <w:p w14:paraId="0C48629A" w14:textId="54D60831" w:rsidR="00DB412A" w:rsidRDefault="00DE1346" w:rsidP="00A83610">
      <w:pPr>
        <w:spacing w:after="0" w:line="240" w:lineRule="auto"/>
        <w:rPr>
          <w:rFonts w:cstheme="minorHAnsi"/>
        </w:rPr>
      </w:pPr>
      <w:hyperlink r:id="rId11" w:history="1">
        <w:r w:rsidR="00DB412A" w:rsidRPr="00FA77D7">
          <w:rPr>
            <w:rStyle w:val="Hyperlink"/>
            <w:rFonts w:cstheme="minorHAnsi"/>
          </w:rPr>
          <w:t>http://www.asphp.org/wp-content/uploads/2011/05/When_Is_It_Safe_To_Manually_Lift_A_Patient.pdf</w:t>
        </w:r>
      </w:hyperlink>
    </w:p>
    <w:p w14:paraId="0B339D8B" w14:textId="77777777" w:rsidR="00DB412A" w:rsidRDefault="00DB412A" w:rsidP="00A83610">
      <w:pPr>
        <w:spacing w:after="0" w:line="240" w:lineRule="auto"/>
        <w:rPr>
          <w:rFonts w:cstheme="minorHAnsi"/>
        </w:rPr>
      </w:pPr>
    </w:p>
    <w:p w14:paraId="04205E00" w14:textId="32052A46" w:rsidR="00A83610" w:rsidRPr="003A7E60" w:rsidRDefault="00A83610" w:rsidP="00A83610">
      <w:pPr>
        <w:spacing w:after="0" w:line="240" w:lineRule="auto"/>
        <w:rPr>
          <w:rFonts w:cstheme="minorHAnsi"/>
        </w:rPr>
      </w:pPr>
      <w:r w:rsidRPr="003A7E60">
        <w:rPr>
          <w:rFonts w:cstheme="minorHAnsi"/>
        </w:rPr>
        <w:t xml:space="preserve">CDC: Physical </w:t>
      </w:r>
      <w:r w:rsidR="00BC4CE8">
        <w:rPr>
          <w:rFonts w:cstheme="minorHAnsi"/>
        </w:rPr>
        <w:t>H</w:t>
      </w:r>
      <w:r w:rsidRPr="003A7E60">
        <w:rPr>
          <w:rFonts w:cstheme="minorHAnsi"/>
        </w:rPr>
        <w:t xml:space="preserve">azards for Healthcare </w:t>
      </w:r>
      <w:r w:rsidR="00B40EE6" w:rsidRPr="003A7E60">
        <w:rPr>
          <w:rFonts w:cstheme="minorHAnsi"/>
        </w:rPr>
        <w:t>Workers</w:t>
      </w:r>
    </w:p>
    <w:p w14:paraId="5B4CDD81" w14:textId="0E370E8F" w:rsidR="00A83610" w:rsidRDefault="00DE1346" w:rsidP="00A83610">
      <w:pPr>
        <w:spacing w:after="0" w:line="240" w:lineRule="auto"/>
        <w:rPr>
          <w:rStyle w:val="Hyperlink"/>
          <w:rFonts w:cstheme="minorHAnsi"/>
        </w:rPr>
      </w:pPr>
      <w:hyperlink r:id="rId12" w:history="1">
        <w:r w:rsidR="00A83610" w:rsidRPr="003A7E60">
          <w:rPr>
            <w:rStyle w:val="Hyperlink"/>
            <w:rFonts w:cstheme="minorHAnsi"/>
          </w:rPr>
          <w:t>https://www.cdc.gov/niosh/topics/healthcare/physical.html</w:t>
        </w:r>
      </w:hyperlink>
    </w:p>
    <w:p w14:paraId="71364A9B" w14:textId="4AD90129" w:rsidR="00EB5238" w:rsidRDefault="00EB5238" w:rsidP="00A83610">
      <w:pPr>
        <w:spacing w:after="0" w:line="240" w:lineRule="auto"/>
        <w:rPr>
          <w:rFonts w:cstheme="minorHAnsi"/>
        </w:rPr>
      </w:pPr>
    </w:p>
    <w:p w14:paraId="7EB66C60" w14:textId="77777777" w:rsidR="00EB5238" w:rsidRPr="003A7E60" w:rsidRDefault="00EB5238" w:rsidP="00EB5238">
      <w:pPr>
        <w:spacing w:after="0" w:line="240" w:lineRule="auto"/>
        <w:rPr>
          <w:rFonts w:cstheme="minorHAnsi"/>
        </w:rPr>
      </w:pPr>
      <w:r w:rsidRPr="003A7E60">
        <w:rPr>
          <w:rFonts w:cstheme="minorHAnsi"/>
        </w:rPr>
        <w:t>NIOSH: Safe Lifting and Movement of Nursing Home Residents, 2006</w:t>
      </w:r>
    </w:p>
    <w:p w14:paraId="020E6E9F" w14:textId="37689BEF" w:rsidR="00EB5238" w:rsidRPr="003A7E60" w:rsidRDefault="00DE1346" w:rsidP="00EB5238">
      <w:pPr>
        <w:spacing w:after="0" w:line="240" w:lineRule="auto"/>
        <w:rPr>
          <w:rFonts w:cstheme="minorHAnsi"/>
        </w:rPr>
      </w:pPr>
      <w:hyperlink r:id="rId13" w:history="1">
        <w:r w:rsidR="00EB5238" w:rsidRPr="003A7E60">
          <w:rPr>
            <w:rStyle w:val="Hyperlink"/>
            <w:rFonts w:cstheme="minorHAnsi"/>
          </w:rPr>
          <w:t>https://www.cdc.gov/niosh/docs/2006-117/pdfs/2006-117.pdf?id=10.26616/NIOSHPUB2006117</w:t>
        </w:r>
      </w:hyperlink>
    </w:p>
    <w:p w14:paraId="21FCE111" w14:textId="77777777" w:rsidR="00B40EE6" w:rsidRPr="003A7E60" w:rsidRDefault="00B40EE6" w:rsidP="00A83610">
      <w:pPr>
        <w:spacing w:after="0" w:line="240" w:lineRule="auto"/>
        <w:rPr>
          <w:rFonts w:cstheme="minorHAnsi"/>
        </w:rPr>
      </w:pPr>
    </w:p>
    <w:p w14:paraId="1246C29F" w14:textId="5621EF98" w:rsidR="00A83610" w:rsidRPr="003A7E60" w:rsidRDefault="00B40EE6" w:rsidP="00A83610">
      <w:pPr>
        <w:spacing w:after="0" w:line="240" w:lineRule="auto"/>
        <w:rPr>
          <w:rFonts w:cstheme="minorHAnsi"/>
        </w:rPr>
      </w:pPr>
      <w:r w:rsidRPr="003A7E60">
        <w:rPr>
          <w:rFonts w:cstheme="minorHAnsi"/>
        </w:rPr>
        <w:t xml:space="preserve">American Association for Safe </w:t>
      </w:r>
      <w:r w:rsidR="003A7E60">
        <w:rPr>
          <w:rFonts w:cstheme="minorHAnsi"/>
        </w:rPr>
        <w:t>P</w:t>
      </w:r>
      <w:r w:rsidRPr="003A7E60">
        <w:rPr>
          <w:rFonts w:cstheme="minorHAnsi"/>
        </w:rPr>
        <w:t>atient Handling and Movement</w:t>
      </w:r>
    </w:p>
    <w:p w14:paraId="586644AE" w14:textId="4358275A" w:rsidR="00B40EE6" w:rsidRPr="003A7E60" w:rsidRDefault="00DE1346" w:rsidP="00A83610">
      <w:pPr>
        <w:spacing w:after="0" w:line="240" w:lineRule="auto"/>
        <w:rPr>
          <w:rFonts w:cstheme="minorHAnsi"/>
        </w:rPr>
      </w:pPr>
      <w:hyperlink r:id="rId14" w:history="1">
        <w:r w:rsidR="00B40EE6" w:rsidRPr="003A7E60">
          <w:rPr>
            <w:rStyle w:val="Hyperlink"/>
            <w:rFonts w:cstheme="minorHAnsi"/>
          </w:rPr>
          <w:t>https://aasphm.org/</w:t>
        </w:r>
      </w:hyperlink>
    </w:p>
    <w:p w14:paraId="088EA515" w14:textId="77777777" w:rsidR="00B40EE6" w:rsidRPr="003A7E60" w:rsidRDefault="00B40EE6" w:rsidP="00A83610">
      <w:pPr>
        <w:spacing w:after="0" w:line="240" w:lineRule="auto"/>
        <w:rPr>
          <w:rFonts w:cstheme="minorHAnsi"/>
        </w:rPr>
      </w:pPr>
    </w:p>
    <w:p w14:paraId="16858834" w14:textId="1BC6E638" w:rsidR="00A83610" w:rsidRPr="003A7E60" w:rsidRDefault="00A83610" w:rsidP="00A83610">
      <w:pPr>
        <w:rPr>
          <w:rFonts w:cstheme="minorHAnsi"/>
        </w:rPr>
      </w:pPr>
    </w:p>
    <w:p w14:paraId="387AB614" w14:textId="49CE513A" w:rsidR="00A83610" w:rsidRDefault="003A7E60" w:rsidP="00A83610">
      <w:pPr>
        <w:rPr>
          <w:rFonts w:cstheme="minorHAnsi"/>
        </w:rPr>
      </w:pPr>
      <w:r>
        <w:rPr>
          <w:rFonts w:cstheme="minorHAnsi"/>
        </w:rPr>
        <w:t>Endnote</w:t>
      </w:r>
    </w:p>
    <w:p w14:paraId="0B0EFEBB" w14:textId="023C2AFA" w:rsidR="003A7E60" w:rsidRPr="003A7E60" w:rsidRDefault="003A7E60" w:rsidP="003A7E60">
      <w:pPr>
        <w:pStyle w:val="ListParagraph"/>
        <w:numPr>
          <w:ilvl w:val="0"/>
          <w:numId w:val="2"/>
        </w:numPr>
        <w:rPr>
          <w:rFonts w:cstheme="minorHAnsi"/>
        </w:rPr>
      </w:pPr>
      <w:r>
        <w:rPr>
          <w:rFonts w:cstheme="minorHAnsi"/>
        </w:rPr>
        <w:t>Tuohy-Main, L. (1997). Why manual handling should be eliminated for resident to career safety. Geriaction, 15, 10-14</w:t>
      </w:r>
    </w:p>
    <w:sectPr w:rsidR="003A7E60" w:rsidRPr="003A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D84"/>
    <w:multiLevelType w:val="hybridMultilevel"/>
    <w:tmpl w:val="C7861DD0"/>
    <w:lvl w:ilvl="0" w:tplc="0C36F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D786F"/>
    <w:multiLevelType w:val="hybridMultilevel"/>
    <w:tmpl w:val="155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9CE917-0BD1-49E7-A28B-C8E3402CEED7}"/>
    <w:docVar w:name="dgnword-eventsink" w:val="285242912"/>
  </w:docVars>
  <w:rsids>
    <w:rsidRoot w:val="00A83610"/>
    <w:rsid w:val="00036C05"/>
    <w:rsid w:val="000D5F38"/>
    <w:rsid w:val="001227EA"/>
    <w:rsid w:val="0017471A"/>
    <w:rsid w:val="00177D60"/>
    <w:rsid w:val="003A7E60"/>
    <w:rsid w:val="005E56B1"/>
    <w:rsid w:val="006B7CBA"/>
    <w:rsid w:val="008640B9"/>
    <w:rsid w:val="009239C6"/>
    <w:rsid w:val="00954BA0"/>
    <w:rsid w:val="009A369D"/>
    <w:rsid w:val="00A062CC"/>
    <w:rsid w:val="00A83610"/>
    <w:rsid w:val="00AF3819"/>
    <w:rsid w:val="00B40EE6"/>
    <w:rsid w:val="00BC4CE8"/>
    <w:rsid w:val="00DB412A"/>
    <w:rsid w:val="00EB5238"/>
    <w:rsid w:val="00F2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45B8"/>
  <w15:chartTrackingRefBased/>
  <w15:docId w15:val="{BC7049CD-41E3-47EE-82E9-CAC84F2A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610"/>
    <w:rPr>
      <w:color w:val="0563C1" w:themeColor="hyperlink"/>
      <w:u w:val="single"/>
    </w:rPr>
  </w:style>
  <w:style w:type="character" w:styleId="UnresolvedMention">
    <w:name w:val="Unresolved Mention"/>
    <w:basedOn w:val="DefaultParagraphFont"/>
    <w:uiPriority w:val="99"/>
    <w:semiHidden/>
    <w:unhideWhenUsed/>
    <w:rsid w:val="00A83610"/>
    <w:rPr>
      <w:color w:val="605E5C"/>
      <w:shd w:val="clear" w:color="auto" w:fill="E1DFDD"/>
    </w:rPr>
  </w:style>
  <w:style w:type="paragraph" w:styleId="ListParagraph">
    <w:name w:val="List Paragraph"/>
    <w:basedOn w:val="Normal"/>
    <w:uiPriority w:val="34"/>
    <w:qFormat/>
    <w:rsid w:val="00B40EE6"/>
    <w:pPr>
      <w:ind w:left="720"/>
      <w:contextualSpacing/>
    </w:pPr>
  </w:style>
  <w:style w:type="character" w:styleId="FollowedHyperlink">
    <w:name w:val="FollowedHyperlink"/>
    <w:basedOn w:val="DefaultParagraphFont"/>
    <w:uiPriority w:val="99"/>
    <w:semiHidden/>
    <w:unhideWhenUsed/>
    <w:rsid w:val="00DB4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LTC/etools/hospital/hazards/ergo/ergo.html" TargetMode="External"/><Relationship Id="rId13" Type="http://schemas.openxmlformats.org/officeDocument/2006/relationships/hyperlink" Target="https://www.cdc.gov/niosh/docs/2006-117/pdfs/2006-117.pdf?id=10.26616/NIOSHPUB2006117" TargetMode="External"/><Relationship Id="rId3" Type="http://schemas.openxmlformats.org/officeDocument/2006/relationships/settings" Target="settings.xml"/><Relationship Id="rId7" Type="http://schemas.openxmlformats.org/officeDocument/2006/relationships/hyperlink" Target="ftp://www.njleg.state.nj.us/20062007/S2000/1758_I1.PDF" TargetMode="External"/><Relationship Id="rId12" Type="http://schemas.openxmlformats.org/officeDocument/2006/relationships/hyperlink" Target="https://www.cdc.gov/niosh/topics/healthcare/physica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dc.gov/niosh/topics/safepatient/default.html" TargetMode="External"/><Relationship Id="rId11" Type="http://schemas.openxmlformats.org/officeDocument/2006/relationships/hyperlink" Target="http://www.asphp.org/wp-content/uploads/2011/05/When_Is_It_Safe_To_Manually_Lift_A_Patient.pdf"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cdc.gov/niosh/topics/safepatient/" TargetMode="External"/><Relationship Id="rId4" Type="http://schemas.openxmlformats.org/officeDocument/2006/relationships/webSettings" Target="webSettings.xml"/><Relationship Id="rId9" Type="http://schemas.openxmlformats.org/officeDocument/2006/relationships/hyperlink" Target="https://www.osha.gov/dsg/hospitals/patient_handling.html" TargetMode="External"/><Relationship Id="rId14" Type="http://schemas.openxmlformats.org/officeDocument/2006/relationships/hyperlink" Target="https://aasph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Barbarash</dc:creator>
  <cp:keywords/>
  <dc:description/>
  <cp:lastModifiedBy>Ellie Barbarash</cp:lastModifiedBy>
  <cp:revision>9</cp:revision>
  <cp:lastPrinted>2018-12-13T17:41:00Z</cp:lastPrinted>
  <dcterms:created xsi:type="dcterms:W3CDTF">2018-10-18T17:29:00Z</dcterms:created>
  <dcterms:modified xsi:type="dcterms:W3CDTF">2018-10-22T18:55:00Z</dcterms:modified>
</cp:coreProperties>
</file>